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584" w:type="dxa"/>
        <w:jc w:val="center"/>
        <w:tblLayout w:type="fixed"/>
        <w:tblLook w:val="0000" w:firstRow="0" w:lastRow="0" w:firstColumn="0" w:lastColumn="0" w:noHBand="0" w:noVBand="0"/>
      </w:tblPr>
      <w:tblGrid>
        <w:gridCol w:w="9072"/>
        <w:gridCol w:w="7512"/>
      </w:tblGrid>
      <w:tr w:rsidR="009F6E76" w:rsidRPr="00DB61AA" w:rsidTr="00F822B9">
        <w:trPr>
          <w:trHeight w:val="518"/>
          <w:jc w:val="center"/>
        </w:trPr>
        <w:tc>
          <w:tcPr>
            <w:tcW w:w="9072" w:type="dxa"/>
          </w:tcPr>
          <w:p w:rsidR="009F6E76" w:rsidRPr="00DB61AA" w:rsidRDefault="009F6E76" w:rsidP="009F6E76">
            <w:pPr>
              <w:spacing w:before="0" w:after="0"/>
              <w:jc w:val="center"/>
              <w:rPr>
                <w:sz w:val="26"/>
                <w:szCs w:val="26"/>
              </w:rPr>
            </w:pPr>
            <w:r w:rsidRPr="00DB61AA">
              <w:rPr>
                <w:sz w:val="26"/>
                <w:szCs w:val="26"/>
              </w:rPr>
              <w:t>UBND TỈNH QUẢNG NGÃI</w:t>
            </w:r>
          </w:p>
          <w:p w:rsidR="009F6E76" w:rsidRPr="00DB61AA" w:rsidRDefault="009F6E76" w:rsidP="009F6E76">
            <w:pPr>
              <w:spacing w:before="0" w:after="0"/>
              <w:jc w:val="center"/>
              <w:rPr>
                <w:sz w:val="26"/>
                <w:szCs w:val="26"/>
              </w:rPr>
            </w:pPr>
            <w:r w:rsidRPr="00DB61AA">
              <w:rPr>
                <w:b/>
                <w:sz w:val="26"/>
                <w:szCs w:val="26"/>
              </w:rPr>
              <w:t>SỞ KHOA HỌC VÀ CÔNG NGHỆ</w:t>
            </w:r>
          </w:p>
        </w:tc>
        <w:tc>
          <w:tcPr>
            <w:tcW w:w="7512" w:type="dxa"/>
          </w:tcPr>
          <w:p w:rsidR="009F6E76" w:rsidRDefault="009F6E76" w:rsidP="009F6E76">
            <w:pPr>
              <w:spacing w:before="0" w:after="0"/>
              <w:jc w:val="center"/>
              <w:rPr>
                <w:b/>
                <w:sz w:val="26"/>
                <w:szCs w:val="26"/>
              </w:rPr>
            </w:pPr>
            <w:r w:rsidRPr="00DB61AA">
              <w:rPr>
                <w:b/>
                <w:sz w:val="26"/>
                <w:szCs w:val="26"/>
              </w:rPr>
              <w:t xml:space="preserve">CỘNG HÒA XÃ HỘI CHỦ NGHĨA VIỆT NAM </w:t>
            </w:r>
          </w:p>
          <w:p w:rsidR="009F6E76" w:rsidRPr="00DB61AA" w:rsidRDefault="009F6E76" w:rsidP="009F6E76">
            <w:pPr>
              <w:spacing w:before="0" w:after="0"/>
              <w:jc w:val="center"/>
              <w:rPr>
                <w:b/>
                <w:sz w:val="26"/>
                <w:szCs w:val="26"/>
              </w:rPr>
            </w:pPr>
            <w:r w:rsidRPr="00DB61AA">
              <w:rPr>
                <w:b/>
                <w:szCs w:val="26"/>
              </w:rPr>
              <w:t>Độc lập - Tự do - Hạnh phúc</w:t>
            </w:r>
          </w:p>
        </w:tc>
      </w:tr>
    </w:tbl>
    <w:p w:rsidR="009F6E76" w:rsidRDefault="00F822B9" w:rsidP="00B046C9">
      <w:pPr>
        <w:spacing w:before="60" w:after="60" w:line="252" w:lineRule="auto"/>
        <w:ind w:right="-5" w:firstLine="709"/>
        <w:jc w:val="center"/>
        <w:rPr>
          <w:b/>
          <w:color w:val="000000"/>
        </w:rPr>
      </w:pPr>
      <w:r w:rsidRPr="00DB61AA">
        <w:rPr>
          <w:b/>
          <w:noProof/>
          <w:sz w:val="26"/>
        </w:rPr>
        <mc:AlternateContent>
          <mc:Choice Requires="wps">
            <w:drawing>
              <wp:anchor distT="0" distB="0" distL="114300" distR="114300" simplePos="0" relativeHeight="251660288" behindDoc="0" locked="0" layoutInCell="1" allowOverlap="1" wp14:anchorId="33AAEBC8" wp14:editId="3F24207D">
                <wp:simplePos x="0" y="0"/>
                <wp:positionH relativeFrom="column">
                  <wp:posOffset>2019536</wp:posOffset>
                </wp:positionH>
                <wp:positionV relativeFrom="paragraph">
                  <wp:posOffset>67930</wp:posOffset>
                </wp:positionV>
                <wp:extent cx="457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87F4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5.35pt" to="1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"/>
            </w:pict>
          </mc:Fallback>
        </mc:AlternateContent>
      </w:r>
      <w:r w:rsidRPr="00DB61AA">
        <w:rPr>
          <w:b/>
          <w:noProof/>
          <w:sz w:val="26"/>
        </w:rPr>
        <mc:AlternateContent>
          <mc:Choice Requires="wps">
            <w:drawing>
              <wp:anchor distT="0" distB="0" distL="114300" distR="114300" simplePos="0" relativeHeight="251659264" behindDoc="0" locked="0" layoutInCell="1" allowOverlap="1" wp14:anchorId="7D6F8788" wp14:editId="3AAF5A07">
                <wp:simplePos x="0" y="0"/>
                <wp:positionH relativeFrom="column">
                  <wp:posOffset>6456651</wp:posOffset>
                </wp:positionH>
                <wp:positionV relativeFrom="paragraph">
                  <wp:posOffset>68256</wp:posOffset>
                </wp:positionV>
                <wp:extent cx="2048256" cy="7950"/>
                <wp:effectExtent l="0" t="0" r="28575" b="304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8256" cy="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61D8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4pt,5.35pt" to="6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"/>
            </w:pict>
          </mc:Fallback>
        </mc:AlternateContent>
      </w:r>
    </w:p>
    <w:p w:rsidR="00B046C9" w:rsidRDefault="00B046C9" w:rsidP="00F822B9">
      <w:pPr>
        <w:spacing w:before="60" w:after="60" w:line="252" w:lineRule="auto"/>
        <w:ind w:right="-5"/>
        <w:jc w:val="center"/>
        <w:rPr>
          <w:b/>
          <w:color w:val="000000"/>
        </w:rPr>
      </w:pPr>
      <w:r>
        <w:rPr>
          <w:b/>
          <w:color w:val="000000"/>
        </w:rPr>
        <w:t>PHỤ LỤC</w:t>
      </w:r>
    </w:p>
    <w:p w:rsidR="00B046C9" w:rsidRDefault="00B046C9" w:rsidP="00F822B9">
      <w:pPr>
        <w:spacing w:before="60" w:after="60" w:line="252" w:lineRule="auto"/>
        <w:ind w:right="-5"/>
        <w:jc w:val="center"/>
        <w:rPr>
          <w:b/>
          <w:color w:val="000000"/>
        </w:rPr>
      </w:pPr>
      <w:r>
        <w:rPr>
          <w:b/>
          <w:color w:val="000000"/>
        </w:rPr>
        <w:t>N</w:t>
      </w:r>
      <w:r w:rsidR="009F6E76">
        <w:rPr>
          <w:b/>
          <w:color w:val="000000"/>
        </w:rPr>
        <w:t xml:space="preserve">ội dung triển khai </w:t>
      </w:r>
      <w:r w:rsidR="00F40670">
        <w:rPr>
          <w:b/>
          <w:color w:val="000000"/>
        </w:rPr>
        <w:t>m</w:t>
      </w:r>
      <w:r>
        <w:rPr>
          <w:b/>
          <w:color w:val="000000"/>
        </w:rPr>
        <w:t>hiệm vụ, giải pháp chủ yếu</w:t>
      </w:r>
      <w:r w:rsidRPr="00DD5E39">
        <w:rPr>
          <w:b/>
          <w:color w:val="000000"/>
        </w:rPr>
        <w:t xml:space="preserve"> </w:t>
      </w:r>
      <w:r>
        <w:rPr>
          <w:b/>
          <w:color w:val="000000"/>
        </w:rPr>
        <w:t xml:space="preserve">cải thiện môi trường đầu tư kinh doanh </w:t>
      </w:r>
      <w:r w:rsidRPr="00DD5E39">
        <w:rPr>
          <w:b/>
          <w:color w:val="000000"/>
        </w:rPr>
        <w:t>năm 2024</w:t>
      </w:r>
    </w:p>
    <w:p w:rsidR="00B046C9" w:rsidRDefault="00B046C9" w:rsidP="00F822B9">
      <w:pPr>
        <w:spacing w:before="60" w:after="60" w:line="252" w:lineRule="auto"/>
        <w:ind w:right="-5"/>
        <w:jc w:val="center"/>
        <w:rPr>
          <w:i/>
          <w:color w:val="000000"/>
        </w:rPr>
      </w:pPr>
      <w:r w:rsidRPr="00B91EE6">
        <w:rPr>
          <w:i/>
          <w:color w:val="000000"/>
        </w:rPr>
        <w:t xml:space="preserve">(Kèm theo </w:t>
      </w:r>
      <w:r>
        <w:rPr>
          <w:i/>
          <w:color w:val="000000"/>
        </w:rPr>
        <w:t>Kế hoạch</w:t>
      </w:r>
      <w:r w:rsidRPr="00B91EE6">
        <w:rPr>
          <w:i/>
          <w:color w:val="000000"/>
        </w:rPr>
        <w:t xml:space="preserve"> số: </w:t>
      </w:r>
      <w:r w:rsidR="00D775D1">
        <w:rPr>
          <w:i/>
          <w:color w:val="000000"/>
        </w:rPr>
        <w:t xml:space="preserve">378 </w:t>
      </w:r>
      <w:r w:rsidRPr="00B91EE6">
        <w:rPr>
          <w:i/>
          <w:color w:val="000000"/>
        </w:rPr>
        <w:t>/</w:t>
      </w:r>
      <w:r>
        <w:rPr>
          <w:i/>
          <w:color w:val="000000"/>
        </w:rPr>
        <w:t>KH-</w:t>
      </w:r>
      <w:proofErr w:type="gramStart"/>
      <w:r w:rsidRPr="00B91EE6">
        <w:rPr>
          <w:i/>
          <w:color w:val="000000"/>
        </w:rPr>
        <w:t>S</w:t>
      </w:r>
      <w:r>
        <w:rPr>
          <w:i/>
          <w:color w:val="000000"/>
        </w:rPr>
        <w:t xml:space="preserve">KHCN </w:t>
      </w:r>
      <w:r w:rsidRPr="00B91EE6">
        <w:rPr>
          <w:i/>
          <w:color w:val="000000"/>
        </w:rPr>
        <w:t xml:space="preserve"> ngày</w:t>
      </w:r>
      <w:proofErr w:type="gramEnd"/>
      <w:r w:rsidR="00EF350B">
        <w:rPr>
          <w:i/>
          <w:color w:val="000000"/>
        </w:rPr>
        <w:t xml:space="preserve"> 01</w:t>
      </w:r>
      <w:r w:rsidRPr="00B91EE6">
        <w:rPr>
          <w:i/>
          <w:color w:val="000000"/>
        </w:rPr>
        <w:t xml:space="preserve"> </w:t>
      </w:r>
      <w:bookmarkStart w:id="0" w:name="_GoBack"/>
      <w:bookmarkEnd w:id="0"/>
      <w:r w:rsidRPr="00B91EE6">
        <w:rPr>
          <w:i/>
          <w:color w:val="000000"/>
        </w:rPr>
        <w:t xml:space="preserve">tháng </w:t>
      </w:r>
      <w:r>
        <w:rPr>
          <w:i/>
          <w:color w:val="000000"/>
        </w:rPr>
        <w:t>3</w:t>
      </w:r>
      <w:r w:rsidRPr="00B91EE6">
        <w:rPr>
          <w:i/>
          <w:color w:val="000000"/>
        </w:rPr>
        <w:t xml:space="preserve"> năm 2024</w:t>
      </w:r>
      <w:r w:rsidR="009F6E76">
        <w:rPr>
          <w:i/>
          <w:color w:val="000000"/>
        </w:rPr>
        <w:t xml:space="preserve"> của Sở Khoa học và Công nghệ</w:t>
      </w:r>
      <w:r w:rsidRPr="00B91EE6">
        <w:rPr>
          <w:i/>
          <w:color w:val="000000"/>
        </w:rPr>
        <w:t>)</w:t>
      </w:r>
    </w:p>
    <w:p w:rsidR="009F6E76" w:rsidRPr="00B91EE6" w:rsidRDefault="009F6E76" w:rsidP="00B046C9">
      <w:pPr>
        <w:spacing w:before="60" w:after="60" w:line="252" w:lineRule="auto"/>
        <w:ind w:right="-5" w:firstLine="709"/>
        <w:jc w:val="center"/>
        <w:rPr>
          <w:i/>
          <w:color w:val="000000"/>
        </w:rPr>
      </w:pPr>
      <w:r w:rsidRPr="00DB61AA">
        <w:rPr>
          <w:b/>
          <w:noProof/>
          <w:sz w:val="26"/>
        </w:rPr>
        <mc:AlternateContent>
          <mc:Choice Requires="wps">
            <w:drawing>
              <wp:anchor distT="0" distB="0" distL="114300" distR="114300" simplePos="0" relativeHeight="251662336" behindDoc="0" locked="0" layoutInCell="1" allowOverlap="1" wp14:anchorId="0086250C" wp14:editId="3547E320">
                <wp:simplePos x="0" y="0"/>
                <wp:positionH relativeFrom="column">
                  <wp:posOffset>3850412</wp:posOffset>
                </wp:positionH>
                <wp:positionV relativeFrom="paragraph">
                  <wp:posOffset>6248</wp:posOffset>
                </wp:positionV>
                <wp:extent cx="2048256" cy="7950"/>
                <wp:effectExtent l="0" t="0" r="28575"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48256" cy="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3340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pt,.5pt" to="46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2/KAIAAEM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"/>
            </w:pict>
          </mc:Fallback>
        </mc:AlternateContent>
      </w:r>
    </w:p>
    <w:tbl>
      <w:tblPr>
        <w:tblpPr w:leftFromText="180" w:rightFromText="180" w:vertAnchor="text" w:tblpY="1"/>
        <w:tblOverlap w:val="never"/>
        <w:tblW w:w="14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799"/>
        <w:gridCol w:w="1696"/>
        <w:gridCol w:w="3118"/>
        <w:gridCol w:w="1272"/>
        <w:gridCol w:w="1130"/>
      </w:tblGrid>
      <w:tr w:rsidR="00B046C9" w:rsidRPr="00DD5E39" w:rsidTr="009F6E76">
        <w:trPr>
          <w:trHeight w:val="697"/>
        </w:trPr>
        <w:tc>
          <w:tcPr>
            <w:tcW w:w="851" w:type="dxa"/>
            <w:shd w:val="clear" w:color="auto" w:fill="auto"/>
            <w:vAlign w:val="center"/>
            <w:hideMark/>
          </w:tcPr>
          <w:p w:rsidR="00B046C9" w:rsidRPr="00DD5E39" w:rsidRDefault="00B046C9" w:rsidP="00B046C9">
            <w:pPr>
              <w:contextualSpacing/>
              <w:jc w:val="center"/>
              <w:rPr>
                <w:b/>
                <w:bCs/>
                <w:color w:val="000000"/>
              </w:rPr>
            </w:pPr>
            <w:r w:rsidRPr="00DD5E39">
              <w:rPr>
                <w:b/>
                <w:bCs/>
                <w:color w:val="000000"/>
              </w:rPr>
              <w:t>TT</w:t>
            </w:r>
          </w:p>
        </w:tc>
        <w:tc>
          <w:tcPr>
            <w:tcW w:w="6799" w:type="dxa"/>
            <w:shd w:val="clear" w:color="auto" w:fill="auto"/>
            <w:vAlign w:val="center"/>
            <w:hideMark/>
          </w:tcPr>
          <w:p w:rsidR="00B046C9" w:rsidRPr="00DD5E39" w:rsidRDefault="00B046C9" w:rsidP="00B046C9">
            <w:pPr>
              <w:contextualSpacing/>
              <w:jc w:val="center"/>
              <w:rPr>
                <w:b/>
                <w:bCs/>
                <w:color w:val="000000"/>
              </w:rPr>
            </w:pPr>
            <w:r w:rsidRPr="00DD5E39">
              <w:rPr>
                <w:b/>
                <w:bCs/>
                <w:color w:val="000000"/>
              </w:rPr>
              <w:t>Nội dung công việc</w:t>
            </w:r>
          </w:p>
        </w:tc>
        <w:tc>
          <w:tcPr>
            <w:tcW w:w="1696" w:type="dxa"/>
            <w:shd w:val="clear" w:color="auto" w:fill="auto"/>
            <w:vAlign w:val="center"/>
            <w:hideMark/>
          </w:tcPr>
          <w:p w:rsidR="00B046C9" w:rsidRDefault="00B046C9" w:rsidP="00B046C9">
            <w:pPr>
              <w:contextualSpacing/>
              <w:jc w:val="center"/>
              <w:rPr>
                <w:b/>
                <w:bCs/>
                <w:color w:val="000000"/>
              </w:rPr>
            </w:pPr>
            <w:r>
              <w:rPr>
                <w:b/>
                <w:bCs/>
                <w:color w:val="000000"/>
              </w:rPr>
              <w:t>Đơn vị</w:t>
            </w:r>
          </w:p>
          <w:p w:rsidR="00B046C9" w:rsidRPr="00DD5E39" w:rsidRDefault="00B046C9" w:rsidP="00B046C9">
            <w:pPr>
              <w:contextualSpacing/>
              <w:jc w:val="center"/>
              <w:rPr>
                <w:b/>
                <w:bCs/>
                <w:color w:val="000000"/>
              </w:rPr>
            </w:pPr>
            <w:r>
              <w:rPr>
                <w:b/>
                <w:bCs/>
                <w:color w:val="000000"/>
              </w:rPr>
              <w:t>chủ trì</w:t>
            </w:r>
          </w:p>
        </w:tc>
        <w:tc>
          <w:tcPr>
            <w:tcW w:w="3118" w:type="dxa"/>
            <w:vAlign w:val="center"/>
          </w:tcPr>
          <w:p w:rsidR="00B046C9" w:rsidRDefault="00B046C9" w:rsidP="00B046C9">
            <w:pPr>
              <w:contextualSpacing/>
              <w:jc w:val="center"/>
              <w:rPr>
                <w:b/>
                <w:bCs/>
                <w:color w:val="000000"/>
              </w:rPr>
            </w:pPr>
            <w:r>
              <w:rPr>
                <w:b/>
                <w:bCs/>
                <w:color w:val="000000"/>
              </w:rPr>
              <w:t>Đơn vị</w:t>
            </w:r>
          </w:p>
          <w:p w:rsidR="00B046C9" w:rsidRPr="00DD5E39" w:rsidRDefault="00B046C9" w:rsidP="00B046C9">
            <w:pPr>
              <w:contextualSpacing/>
              <w:jc w:val="center"/>
              <w:rPr>
                <w:b/>
                <w:bCs/>
                <w:color w:val="000000"/>
              </w:rPr>
            </w:pPr>
            <w:r>
              <w:rPr>
                <w:b/>
                <w:bCs/>
                <w:color w:val="000000"/>
              </w:rPr>
              <w:t>phối hợp</w:t>
            </w:r>
          </w:p>
        </w:tc>
        <w:tc>
          <w:tcPr>
            <w:tcW w:w="1272" w:type="dxa"/>
            <w:vAlign w:val="center"/>
          </w:tcPr>
          <w:p w:rsidR="00B046C9" w:rsidRPr="00DD5E39" w:rsidRDefault="00B046C9" w:rsidP="00B046C9">
            <w:pPr>
              <w:ind w:right="176"/>
              <w:contextualSpacing/>
              <w:jc w:val="center"/>
              <w:rPr>
                <w:b/>
                <w:bCs/>
                <w:color w:val="000000"/>
              </w:rPr>
            </w:pPr>
            <w:r>
              <w:rPr>
                <w:b/>
                <w:bCs/>
                <w:color w:val="000000"/>
              </w:rPr>
              <w:t>Thời gian</w:t>
            </w:r>
          </w:p>
        </w:tc>
        <w:tc>
          <w:tcPr>
            <w:tcW w:w="1130" w:type="dxa"/>
            <w:vAlign w:val="center"/>
          </w:tcPr>
          <w:p w:rsidR="00B046C9" w:rsidRPr="00DD5E39" w:rsidRDefault="00B046C9" w:rsidP="00B046C9">
            <w:pPr>
              <w:contextualSpacing/>
              <w:jc w:val="center"/>
              <w:rPr>
                <w:b/>
                <w:bCs/>
                <w:color w:val="000000"/>
              </w:rPr>
            </w:pPr>
            <w:r>
              <w:rPr>
                <w:b/>
                <w:bCs/>
                <w:color w:val="000000"/>
              </w:rPr>
              <w:t>Ghi chú</w:t>
            </w: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r w:rsidRPr="007C2A08">
              <w:rPr>
                <w:bCs/>
                <w:color w:val="000000"/>
              </w:rPr>
              <w:t>1</w:t>
            </w:r>
          </w:p>
        </w:tc>
        <w:tc>
          <w:tcPr>
            <w:tcW w:w="6799" w:type="dxa"/>
            <w:shd w:val="clear" w:color="auto" w:fill="auto"/>
            <w:vAlign w:val="center"/>
          </w:tcPr>
          <w:p w:rsidR="00B046C9" w:rsidRPr="00330898" w:rsidRDefault="00B046C9" w:rsidP="00B046C9">
            <w:pPr>
              <w:contextualSpacing/>
              <w:jc w:val="both"/>
              <w:rPr>
                <w:bCs/>
                <w:color w:val="000000"/>
              </w:rPr>
            </w:pPr>
            <w:r w:rsidRPr="00330898">
              <w:rPr>
                <w:bCs/>
                <w:color w:val="000000"/>
              </w:rPr>
              <w:t xml:space="preserve">Triển khai thực hiện </w:t>
            </w:r>
            <w:r w:rsidRPr="007C5A0A">
              <w:rPr>
                <w:rFonts w:eastAsia="Times New Roman"/>
              </w:rPr>
              <w:t xml:space="preserve">Quy hoạch tỉnh Quảng Ngãi thời kỳ 2021-2030, tầm nhìn đến năm 2050; các quy hoạch cấp quốc gia, cấp vùng và quy hoạch chuyên ngành đối với lĩnh vực </w:t>
            </w:r>
            <w:r>
              <w:t>khoa học, công nghệ và đổi mới sáng tạo</w:t>
            </w:r>
            <w:r w:rsidRPr="007C5A0A">
              <w:rPr>
                <w:rFonts w:eastAsia="Times New Roman"/>
              </w:rPr>
              <w:t xml:space="preserve"> trong phạm vi quản lý nhà nước của Sở</w:t>
            </w:r>
            <w:r w:rsidRPr="00330898">
              <w:rPr>
                <w:bCs/>
                <w:color w:val="000000"/>
              </w:rPr>
              <w:t>.</w:t>
            </w:r>
            <w:r w:rsidRPr="00330898">
              <w:rPr>
                <w:bCs/>
                <w:color w:val="000000"/>
              </w:rPr>
              <w:tab/>
            </w:r>
          </w:p>
        </w:tc>
        <w:tc>
          <w:tcPr>
            <w:tcW w:w="1696" w:type="dxa"/>
            <w:shd w:val="clear" w:color="auto" w:fill="auto"/>
            <w:vAlign w:val="center"/>
          </w:tcPr>
          <w:p w:rsidR="00B046C9" w:rsidRPr="008931D4" w:rsidRDefault="00B046C9" w:rsidP="00B046C9">
            <w:pPr>
              <w:contextualSpacing/>
              <w:jc w:val="center"/>
              <w:rPr>
                <w:bCs/>
                <w:color w:val="000000"/>
              </w:rPr>
            </w:pPr>
            <w:r w:rsidRPr="008931D4">
              <w:rPr>
                <w:bCs/>
                <w:color w:val="000000"/>
              </w:rPr>
              <w:t xml:space="preserve">Phòng </w:t>
            </w:r>
            <w:r>
              <w:rPr>
                <w:bCs/>
                <w:color w:val="000000"/>
              </w:rPr>
              <w:t>HCTH</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sidRPr="008931D4">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t xml:space="preserve">Tham mưu UBND tỉnh trình HĐND tỉnh ban hành </w:t>
            </w:r>
            <w:r w:rsidRPr="00134743">
              <w:t>Nghị quyết của HĐND tỉnh Quy định mức chi đối với hoạt động tổ chức Hội thi sáng tạo kỹ thuật và Cuộc thi Sáng tạo Thanh Thiếu niên Nhi đồng trên địa bàn tỉnh; Nghị quyết Quy định nội dung và mức chi hỗ trợ hệ sinh thái khởi nghiệp đổi mới sáng tạo đến năm 2025 trên địa bàn tỉnh Quảng Ngãi</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Quý II</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34743">
              <w:t>Tham mưu UBND tỉnh ban hành Quyết định sửa đổi, bổ sung Quyết định 25/2018/QĐ-UBND ngày 12/9/2018 của UBND tỉnh Quảng Ngãi ban hành Quy định quản lý nhiệm vụ khoa học và công nghệ cấp tỉnh và cấp cơ sở sử dụng ngân sách nhà nước trên địa bàn tỉnh Quảng Ngãi</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QLKH</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Quý II</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34743">
              <w:t>Tham mưu UBND tỉnh ban hành Kế hoạch của UBND tỉnh thực hiện Nghị quyết số 189/NQ-CP ngày 16/11/2023 của Chính phủ và Chương trình hành động số 32-CTr/TU ngày 21/3/2023 của Ban Thường vụ Tỉnh ủy Quảng Ngãi về thực hiện Nghị quyết số 36-NQ/TW của Bộ Chính trị về phát triển và ứng dụng công nghệ sinh học phục vụ phát triển bền vững đất nước trong tình hình mới</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34743">
              <w:t>Các nhiệm vụ nhằm xây dựng hệ sinh thái khởi nghiệp đổi mới sáng tạo theo tinh thần Nghị quyết số 08-NQ/TU ngày 20/5/2022 của Tỉnh ủy về thúc đẩy hệ sinh thái khởi nghiệp đổi mới sáng tạo trên địa bàn tỉnh Quảng Ngãi giai đoạn 2022 - 2025, định hướng đến năm 2030; Quyết định số 827/QĐ-UBND ngày 27/6/2022 của Chủ tịch UBND tỉnh Quảng Ngãi ban hành Kế hoạch xây dựng Hệ sinh thái khởi nghiệp đổi mới sáng tạo tỉnh Quảng Ngãi giai đoạn 2022 - 2025, định hướng đến năm 2030</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Chương trình quốc gia hỗ trợ doanh nghiệp nâng cao năng suất chất lượng giai đoạn 2021-2030 trên địa bàn tỉnh (Kế hoạch số 11/KH-UBND ngày 18/01/2021 của UBND tỉnh); Đề án áp dụng và quản lý hệ thống truy xuất nguồn gốc trên địa bàn tỉnh (Quyết định số 457/QĐ-UBND ngày 31/3/2020 của UBND tỉnh); Đề án Tăng cường, đổi mới hoạt động đo lường hỗ trợ doanh nghiệp Việt Nam nâng cao năng lực cạnh tranh và hội nhập quốc tế giai đoạn 2021 -2025, định hướng đến năm 2030” trên địa bàn tỉnh (Kế hoạch số 101/KH-UBND ngày 15/7/2021 của UBND tỉnh)</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QLTĐC</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Chương trình chuyển giao, đổi mới công nghệ, phát triển thị trường khoa học - công nghệ và doanh nghiệp khoa học và công nghệ tỉnh Quảng Ngãi đến năm 2030 (Quyết định số 2103/QĐ-UBND ngày 22/12/2021 của Chủ tịch UBND tỉnh); Chương trình phát triển tài sản trí tuệ tỉnh Quảng Ngãi đến năm 2030 (Quyết định số 2141/QĐ-UBND ngày 24/12/2021 của Chủ tịch UBND tỉnh)</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Đề án Hỗ trợ doanh nghiệp nhỏ và vừa trên địa bàn tỉnh Quảng Ngãi giai đoạn 2022-2025 (Quyết định số 1325/QĐ-UBND ngày 30/12/2021 của UBND tỉnh)</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 QLTĐC</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Kế hoạch số 151/KH-UBND ngày 09/12/2019 của UBND tỉnh thực hiện Kết luận số 50-KL/TW ngày 30/5/2019 của Ban Bí thư về tiếp tục thực hiện Nghị quyết Hội nghị Trung ương 6 khóa XI về phát triển khoa học và công nghệ phục vụ sự nghiệp công nghiệp hóa, hiện đại hóa trong điều kiện kinh tế thị trường định hướng xã hội chủ nghĩa và hội nhập quốc tế</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416"/>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Kế hoạch hợp tác giữa UBND tỉnh Quảng Ngãi với Đại học Quốc gia Hà Nội</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QLKH</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Kế hoạch hợp tác giữa UBND tỉnh Quảng Ngãi với Đại học Đà Nẵng</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QLTĐC</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Kế hoạch hợp tác giữa UBND tỉnh Quảng Ngãi với  Trường Đại học Tôn Đức Thắng</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330898" w:rsidRDefault="00B046C9" w:rsidP="00B046C9">
            <w:pPr>
              <w:contextualSpacing/>
              <w:jc w:val="both"/>
              <w:rPr>
                <w:bCs/>
                <w:color w:val="000000"/>
              </w:rPr>
            </w:pPr>
            <w:r w:rsidRPr="001D659F">
              <w:t>Thỏa thuận hợp tác phát triển kinh tế - xã hội giữa Thành phố Hồ Chí Minh với các tỉnh vùng Duyên hải Trung bộ; Bản Ghi nhớ giữa tỉnh Nghệ An và tỉnh Quảng Ngãi</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QLKH, QLTĐC, QLCN&amp;CN</w:t>
            </w:r>
          </w:p>
        </w:tc>
        <w:tc>
          <w:tcPr>
            <w:tcW w:w="3118" w:type="dxa"/>
            <w:vAlign w:val="center"/>
          </w:tcPr>
          <w:p w:rsidR="00B046C9" w:rsidRPr="008931D4" w:rsidRDefault="00B046C9" w:rsidP="00B046C9">
            <w:pPr>
              <w:contextualSpacing/>
              <w:jc w:val="center"/>
              <w:rPr>
                <w:bCs/>
                <w:color w:val="000000"/>
              </w:rPr>
            </w:pPr>
            <w:r>
              <w:rPr>
                <w:b/>
                <w:bCs/>
                <w:color w:val="000000"/>
              </w:rPr>
              <w:t xml:space="preserve">- </w:t>
            </w:r>
            <w:r w:rsidRPr="008931D4">
              <w:rPr>
                <w:bCs/>
                <w:color w:val="000000"/>
              </w:rPr>
              <w:t>Các sở, ngành và các địa phương.</w:t>
            </w:r>
          </w:p>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Default="00B046C9" w:rsidP="00B046C9">
            <w:pPr>
              <w:tabs>
                <w:tab w:val="left" w:pos="7380"/>
              </w:tabs>
              <w:contextualSpacing/>
              <w:jc w:val="both"/>
            </w:pPr>
            <w:r w:rsidRPr="005F4E8D">
              <w:rPr>
                <w:rFonts w:eastAsia="Times New Roman"/>
              </w:rPr>
              <w:t>- Triển khai thực hiện có hiệu quả Nghị quyết số 04-NQ/TU ngày 18/10/2021 của Hội nghị Tỉnh ủy lần thứ 5, khóa XX; Nghị quyết số 93/NQ-HĐND ngày 08/12/2021 của HĐND tỉnh về đẩy mạnh cải cách hành chính; nâng cao thứ hạng các chỉ số cải cách hành chính, hiệu quả quản trị và hành chính công, năng lực cạnh tranh cấp tỉnh giai đoạn 2021- 2025</w:t>
            </w:r>
          </w:p>
          <w:p w:rsidR="00B046C9" w:rsidRPr="007C5A0A" w:rsidRDefault="00B046C9" w:rsidP="00B046C9">
            <w:pPr>
              <w:tabs>
                <w:tab w:val="left" w:pos="7380"/>
              </w:tabs>
              <w:contextualSpacing/>
              <w:jc w:val="both"/>
              <w:rPr>
                <w:rFonts w:eastAsia="Times New Roman"/>
              </w:rPr>
            </w:pPr>
            <w:r>
              <w:rPr>
                <w:rFonts w:eastAsia="Times New Roman"/>
              </w:rPr>
              <w:t xml:space="preserve">- </w:t>
            </w:r>
            <w:r w:rsidRPr="007C5A0A">
              <w:rPr>
                <w:rFonts w:eastAsia="Times New Roman"/>
              </w:rPr>
              <w:t xml:space="preserve">Tiếp tục đẩy mạnh cải cách hành chính, xây dựng </w:t>
            </w:r>
            <w:r w:rsidRPr="007C5A0A">
              <w:t xml:space="preserve">Chính </w:t>
            </w:r>
            <w:r w:rsidRPr="007C5A0A">
              <w:rPr>
                <w:rFonts w:eastAsia="Times New Roman"/>
              </w:rPr>
              <w:t xml:space="preserve">quyền điện tử, </w:t>
            </w:r>
            <w:r w:rsidRPr="007C5A0A">
              <w:t xml:space="preserve">Chính </w:t>
            </w:r>
            <w:r w:rsidRPr="007C5A0A">
              <w:rPr>
                <w:rFonts w:eastAsia="Times New Roman"/>
              </w:rPr>
              <w:t>quyền số</w:t>
            </w:r>
            <w:r>
              <w:t xml:space="preserve">. </w:t>
            </w:r>
            <w:r w:rsidRPr="00986842">
              <w:rPr>
                <w:rFonts w:eastAsia="Times New Roman"/>
              </w:rPr>
              <w:t>Đẩy mạnh thực hiện thủ tục hành chính trên môi trường điện tử để người dân, doanh nghiệp có thể thực hiện dịch vụ mọi lúc, mọi nơi,</w:t>
            </w:r>
            <w:r>
              <w:rPr>
                <w:rFonts w:eastAsia="Times New Roman"/>
              </w:rPr>
              <w:t xml:space="preserve"> trên các phương tiện khác nhau</w:t>
            </w:r>
            <w:r w:rsidRPr="007C5A0A">
              <w:rPr>
                <w:rFonts w:eastAsia="Times New Roman"/>
              </w:rPr>
              <w:t>.</w:t>
            </w:r>
          </w:p>
          <w:p w:rsidR="00B046C9" w:rsidRPr="001D659F" w:rsidRDefault="00B046C9" w:rsidP="00B046C9">
            <w:pPr>
              <w:contextualSpacing/>
              <w:jc w:val="both"/>
            </w:pPr>
            <w:r w:rsidRPr="007C5A0A">
              <w:rPr>
                <w:rFonts w:eastAsia="Times New Roman"/>
              </w:rPr>
              <w:t>- Xây dựng</w:t>
            </w:r>
            <w:r>
              <w:t xml:space="preserve"> và triển khai </w:t>
            </w:r>
            <w:r w:rsidRPr="007C5A0A">
              <w:rPr>
                <w:rFonts w:eastAsia="Times New Roman"/>
              </w:rPr>
              <w:t>thực hiện</w:t>
            </w:r>
            <w:r>
              <w:t xml:space="preserve"> có hiệu quả</w:t>
            </w:r>
            <w:r w:rsidRPr="007C5A0A">
              <w:rPr>
                <w:rFonts w:eastAsia="Times New Roman"/>
              </w:rPr>
              <w:t xml:space="preserve"> kế hoạch cải cách hà</w:t>
            </w:r>
            <w:r>
              <w:rPr>
                <w:rFonts w:eastAsia="Times New Roman"/>
              </w:rPr>
              <w:t xml:space="preserve">nh chính, thi đua, khen thưởng. </w:t>
            </w:r>
            <w:r w:rsidRPr="007C5A0A">
              <w:rPr>
                <w:rFonts w:eastAsia="Times New Roman"/>
              </w:rPr>
              <w:t>Kiện toàn bộ máy tổ chức, nâng cao chất lượng đội ngũ công chức, viên chức.</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HCTH</w:t>
            </w:r>
          </w:p>
        </w:tc>
        <w:tc>
          <w:tcPr>
            <w:tcW w:w="3118" w:type="dxa"/>
            <w:vAlign w:val="center"/>
          </w:tcPr>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r>
              <w:rPr>
                <w:bCs/>
                <w:color w:val="000000"/>
              </w:rPr>
              <w:t>Cả năm</w:t>
            </w:r>
          </w:p>
        </w:tc>
        <w:tc>
          <w:tcPr>
            <w:tcW w:w="1130" w:type="dxa"/>
          </w:tcPr>
          <w:p w:rsidR="00B046C9" w:rsidRDefault="00B046C9" w:rsidP="00B046C9">
            <w:pPr>
              <w:contextualSpacing/>
              <w:jc w:val="center"/>
              <w:rPr>
                <w:b/>
                <w:bCs/>
                <w:color w:val="000000"/>
              </w:rPr>
            </w:pPr>
          </w:p>
        </w:tc>
      </w:tr>
      <w:tr w:rsidR="00B046C9" w:rsidRPr="00DD5E39" w:rsidTr="009F6E76">
        <w:trPr>
          <w:trHeight w:val="1010"/>
        </w:trPr>
        <w:tc>
          <w:tcPr>
            <w:tcW w:w="851" w:type="dxa"/>
            <w:shd w:val="clear" w:color="auto" w:fill="auto"/>
            <w:vAlign w:val="center"/>
          </w:tcPr>
          <w:p w:rsidR="00B046C9" w:rsidRPr="007C2A08" w:rsidRDefault="00B046C9" w:rsidP="00B046C9">
            <w:pPr>
              <w:numPr>
                <w:ilvl w:val="0"/>
                <w:numId w:val="1"/>
              </w:numPr>
              <w:tabs>
                <w:tab w:val="left" w:pos="318"/>
              </w:tabs>
              <w:contextualSpacing/>
              <w:jc w:val="center"/>
              <w:rPr>
                <w:bCs/>
                <w:color w:val="000000"/>
              </w:rPr>
            </w:pPr>
          </w:p>
        </w:tc>
        <w:tc>
          <w:tcPr>
            <w:tcW w:w="6799" w:type="dxa"/>
            <w:shd w:val="clear" w:color="auto" w:fill="auto"/>
            <w:vAlign w:val="center"/>
          </w:tcPr>
          <w:p w:rsidR="00B046C9" w:rsidRPr="001D659F" w:rsidRDefault="00B046C9" w:rsidP="00B046C9">
            <w:pPr>
              <w:contextualSpacing/>
              <w:jc w:val="both"/>
            </w:pPr>
            <w:r>
              <w:rPr>
                <w:rFonts w:eastAsia="Times New Roman"/>
              </w:rPr>
              <w:t>D</w:t>
            </w:r>
            <w:r w:rsidRPr="007C5A0A">
              <w:rPr>
                <w:rFonts w:eastAsia="Times New Roman"/>
              </w:rPr>
              <w:t>uy trì và cải tiến Hệ thống quản lý chất lượng theo tiêu chuẩn quốc gia TCVN ISO 9001:2015</w:t>
            </w:r>
          </w:p>
        </w:tc>
        <w:tc>
          <w:tcPr>
            <w:tcW w:w="1696" w:type="dxa"/>
            <w:shd w:val="clear" w:color="auto" w:fill="auto"/>
            <w:vAlign w:val="center"/>
          </w:tcPr>
          <w:p w:rsidR="00B046C9" w:rsidRPr="008931D4" w:rsidRDefault="00B046C9" w:rsidP="00B046C9">
            <w:pPr>
              <w:contextualSpacing/>
              <w:jc w:val="center"/>
              <w:rPr>
                <w:bCs/>
                <w:color w:val="000000"/>
              </w:rPr>
            </w:pPr>
            <w:r>
              <w:rPr>
                <w:bCs/>
                <w:color w:val="000000"/>
              </w:rPr>
              <w:t>Phòng QLTĐC</w:t>
            </w:r>
          </w:p>
        </w:tc>
        <w:tc>
          <w:tcPr>
            <w:tcW w:w="3118" w:type="dxa"/>
            <w:vAlign w:val="center"/>
          </w:tcPr>
          <w:p w:rsidR="00B046C9" w:rsidRDefault="00B046C9" w:rsidP="00B046C9">
            <w:pPr>
              <w:contextualSpacing/>
              <w:jc w:val="center"/>
              <w:rPr>
                <w:b/>
                <w:bCs/>
                <w:color w:val="000000"/>
              </w:rPr>
            </w:pPr>
            <w:r w:rsidRPr="008931D4">
              <w:rPr>
                <w:bCs/>
                <w:color w:val="000000"/>
              </w:rPr>
              <w:t>- Các phòng, đơn vị thuộc Sở</w:t>
            </w:r>
            <w:r>
              <w:rPr>
                <w:bCs/>
                <w:color w:val="000000"/>
              </w:rPr>
              <w:t>.</w:t>
            </w:r>
          </w:p>
        </w:tc>
        <w:tc>
          <w:tcPr>
            <w:tcW w:w="1272" w:type="dxa"/>
            <w:vAlign w:val="center"/>
          </w:tcPr>
          <w:p w:rsidR="00B046C9" w:rsidRPr="008931D4" w:rsidRDefault="00B046C9" w:rsidP="00B046C9">
            <w:pPr>
              <w:contextualSpacing/>
              <w:jc w:val="center"/>
              <w:rPr>
                <w:bCs/>
                <w:color w:val="000000"/>
              </w:rPr>
            </w:pPr>
          </w:p>
        </w:tc>
        <w:tc>
          <w:tcPr>
            <w:tcW w:w="1130" w:type="dxa"/>
          </w:tcPr>
          <w:p w:rsidR="00B046C9" w:rsidRDefault="00B046C9" w:rsidP="00B046C9">
            <w:pPr>
              <w:contextualSpacing/>
              <w:jc w:val="center"/>
              <w:rPr>
                <w:b/>
                <w:bCs/>
                <w:color w:val="000000"/>
              </w:rPr>
            </w:pPr>
          </w:p>
        </w:tc>
      </w:tr>
    </w:tbl>
    <w:p w:rsidR="007B0663" w:rsidRPr="009F6E76" w:rsidRDefault="007B0663">
      <w:pPr>
        <w:rPr>
          <w:sz w:val="2"/>
          <w:szCs w:val="2"/>
        </w:rPr>
      </w:pPr>
    </w:p>
    <w:sectPr w:rsidR="007B0663" w:rsidRPr="009F6E76" w:rsidSect="00F822B9">
      <w:headerReference w:type="default" r:id="rId7"/>
      <w:headerReference w:type="first" r:id="rId8"/>
      <w:pgSz w:w="16840" w:h="11907" w:orient="landscape" w:code="9"/>
      <w:pgMar w:top="1701"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603" w:rsidRDefault="00170603" w:rsidP="00F822B9">
      <w:pPr>
        <w:spacing w:before="0" w:after="0"/>
      </w:pPr>
      <w:r>
        <w:separator/>
      </w:r>
    </w:p>
  </w:endnote>
  <w:endnote w:type="continuationSeparator" w:id="0">
    <w:p w:rsidR="00170603" w:rsidRDefault="00170603" w:rsidP="00F822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603" w:rsidRDefault="00170603" w:rsidP="00F822B9">
      <w:pPr>
        <w:spacing w:before="0" w:after="0"/>
      </w:pPr>
      <w:r>
        <w:separator/>
      </w:r>
    </w:p>
  </w:footnote>
  <w:footnote w:type="continuationSeparator" w:id="0">
    <w:p w:rsidR="00170603" w:rsidRDefault="00170603" w:rsidP="00F822B9">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718569"/>
      <w:docPartObj>
        <w:docPartGallery w:val="Page Numbers (Top of Page)"/>
        <w:docPartUnique/>
      </w:docPartObj>
    </w:sdtPr>
    <w:sdtEndPr>
      <w:rPr>
        <w:noProof/>
      </w:rPr>
    </w:sdtEndPr>
    <w:sdtContent>
      <w:p w:rsidR="00F822B9" w:rsidRDefault="00F822B9">
        <w:pPr>
          <w:pStyle w:val="Header"/>
          <w:jc w:val="center"/>
        </w:pPr>
        <w:r>
          <w:fldChar w:fldCharType="begin"/>
        </w:r>
        <w:r>
          <w:instrText xml:space="preserve"> PAGE   \* MERGEFORMAT </w:instrText>
        </w:r>
        <w:r>
          <w:fldChar w:fldCharType="separate"/>
        </w:r>
        <w:r w:rsidR="00EF350B">
          <w:rPr>
            <w:noProof/>
          </w:rPr>
          <w:t>4</w:t>
        </w:r>
        <w:r>
          <w:rPr>
            <w:noProof/>
          </w:rPr>
          <w:fldChar w:fldCharType="end"/>
        </w:r>
      </w:p>
    </w:sdtContent>
  </w:sdt>
  <w:p w:rsidR="00F822B9" w:rsidRDefault="00F822B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B9" w:rsidRDefault="00F822B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01752"/>
    <w:multiLevelType w:val="hybridMultilevel"/>
    <w:tmpl w:val="D032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38"/>
    <w:rsid w:val="00170603"/>
    <w:rsid w:val="004B441A"/>
    <w:rsid w:val="00503415"/>
    <w:rsid w:val="007B0663"/>
    <w:rsid w:val="008E338B"/>
    <w:rsid w:val="009F6E76"/>
    <w:rsid w:val="00A71C6B"/>
    <w:rsid w:val="00B046C9"/>
    <w:rsid w:val="00B56816"/>
    <w:rsid w:val="00D775D1"/>
    <w:rsid w:val="00E82638"/>
    <w:rsid w:val="00EF350B"/>
    <w:rsid w:val="00F40670"/>
    <w:rsid w:val="00F82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784B"/>
  <w15:chartTrackingRefBased/>
  <w15:docId w15:val="{86DCAEE1-B35A-436B-BA2F-ED2C8156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6E76"/>
    <w:pPr>
      <w:tabs>
        <w:tab w:val="center" w:pos="4320"/>
        <w:tab w:val="right" w:pos="8640"/>
      </w:tabs>
      <w:spacing w:before="0" w:after="0"/>
    </w:pPr>
    <w:rPr>
      <w:rFonts w:eastAsia="Times New Roman"/>
      <w:szCs w:val="24"/>
      <w:lang w:val="x-none" w:eastAsia="x-none"/>
    </w:rPr>
  </w:style>
  <w:style w:type="character" w:customStyle="1" w:styleId="HeaderChar">
    <w:name w:val="Header Char"/>
    <w:basedOn w:val="DefaultParagraphFont"/>
    <w:link w:val="Header"/>
    <w:uiPriority w:val="99"/>
    <w:rsid w:val="009F6E76"/>
    <w:rPr>
      <w:rFonts w:eastAsia="Times New Roman"/>
      <w:szCs w:val="24"/>
      <w:lang w:val="x-none" w:eastAsia="x-none"/>
    </w:rPr>
  </w:style>
  <w:style w:type="paragraph" w:styleId="Footer">
    <w:name w:val="footer"/>
    <w:basedOn w:val="Normal"/>
    <w:link w:val="FooterChar"/>
    <w:uiPriority w:val="99"/>
    <w:unhideWhenUsed/>
    <w:rsid w:val="00F822B9"/>
    <w:pPr>
      <w:tabs>
        <w:tab w:val="center" w:pos="4680"/>
        <w:tab w:val="right" w:pos="9360"/>
      </w:tabs>
      <w:spacing w:before="0" w:after="0"/>
    </w:pPr>
  </w:style>
  <w:style w:type="character" w:customStyle="1" w:styleId="FooterChar">
    <w:name w:val="Footer Char"/>
    <w:basedOn w:val="DefaultParagraphFont"/>
    <w:link w:val="Footer"/>
    <w:uiPriority w:val="99"/>
    <w:rsid w:val="00F822B9"/>
  </w:style>
  <w:style w:type="paragraph" w:styleId="BalloonText">
    <w:name w:val="Balloon Text"/>
    <w:basedOn w:val="Normal"/>
    <w:link w:val="BalloonTextChar"/>
    <w:uiPriority w:val="99"/>
    <w:semiHidden/>
    <w:unhideWhenUsed/>
    <w:rsid w:val="00EF35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2024-03-04T07:06:00Z</cp:lastPrinted>
  <dcterms:created xsi:type="dcterms:W3CDTF">2024-03-01T02:32:00Z</dcterms:created>
  <dcterms:modified xsi:type="dcterms:W3CDTF">2024-03-04T07:06:00Z</dcterms:modified>
</cp:coreProperties>
</file>